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center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33333"/>
          <w:sz w:val="26"/>
          <w:szCs w:val="26"/>
          <w:shd w:val="clear" w:color="auto" w:fill="f6f7f8"/>
          <w:rtl w:val="0"/>
          <w:lang w:val="en-US"/>
          <w14:textFill>
            <w14:solidFill>
              <w14:srgbClr w14:val="333333"/>
            </w14:solidFill>
          </w14:textFill>
        </w:rPr>
        <w:t>T&amp; B Consulting Services Inc dba Platinum Coaching Alliance Privacy Policy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</w:r>
      <w:r>
        <w:rPr>
          <w:outline w:val="0"/>
          <w:color w:val="35589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65899"/>
            </w14:solidFill>
          </w14:textFill>
        </w:rPr>
        <w:t>The</w:t>
      </w:r>
      <w:r>
        <w:rPr>
          <w:outline w:val="0"/>
          <w:color w:val="35589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65899"/>
            </w14:solidFill>
          </w14:textFill>
        </w:rPr>
        <w:t xml:space="preserve"> kind of information we collect from our website is the Name, address, email address</w:t>
      </w: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>,</w:t>
      </w:r>
      <w:r>
        <w:rPr>
          <w:outline w:val="0"/>
          <w:color w:val="355899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365899"/>
            </w14:solidFill>
          </w14:textFill>
        </w:rPr>
        <w:t xml:space="preserve"> and any other information the visitor to our website provides. 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>We use this information to reply to any requests for information.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 xml:space="preserve">None of the information gathered is shared without written consent. 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>Any legal requests will be directed to our corporate attorney.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>We will post on our website notification that our privacy policy has changed.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>Customers can contact us either by email or phone which is provided in the contact tab of our website.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tl w:val="0"/>
        </w:rPr>
      </w:pPr>
      <w:r>
        <w:rPr>
          <w:outline w:val="0"/>
          <w:color w:val="355899"/>
          <w:sz w:val="26"/>
          <w:szCs w:val="26"/>
          <w:shd w:val="clear" w:color="auto" w:fill="ffffff"/>
          <w:rtl w:val="0"/>
          <w14:textFill>
            <w14:solidFill>
              <w14:srgbClr w14:val="365899"/>
            </w14:solidFill>
          </w14:textFill>
        </w:rPr>
        <w:tab/>
        <w:tab/>
        <w:t>The effective date of our privacy policy is 11-29-2016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